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60" w:lineRule="auto"/>
        <w:ind w:firstLine="2153" w:firstLineChars="650"/>
        <w:rPr>
          <w:rFonts w:ascii="微软雅黑" w:hAnsi="微软雅黑" w:eastAsia="微软雅黑" w:cs="Times New Roman"/>
          <w:b/>
          <w:bCs/>
          <w:color w:val="auto"/>
          <w:sz w:val="33"/>
          <w:szCs w:val="33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2153" w:firstLineChars="650"/>
        <w:rPr>
          <w:rFonts w:ascii="微软雅黑" w:hAnsi="微软雅黑" w:eastAsia="微软雅黑" w:cs="微软雅黑"/>
          <w:b/>
          <w:bCs/>
          <w:color w:val="auto"/>
          <w:sz w:val="33"/>
          <w:szCs w:val="33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2153" w:firstLineChars="650"/>
        <w:rPr>
          <w:rFonts w:ascii="微软雅黑" w:hAnsi="微软雅黑" w:eastAsia="微软雅黑" w:cs="微软雅黑"/>
          <w:b/>
          <w:bCs/>
          <w:color w:val="auto"/>
          <w:sz w:val="33"/>
          <w:szCs w:val="33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2349" w:firstLineChars="650"/>
        <w:rPr>
          <w:rFonts w:ascii="微软雅黑" w:hAnsi="微软雅黑" w:eastAsia="微软雅黑" w:cs="Times New Roman"/>
          <w:b/>
          <w:bCs/>
          <w:color w:val="auto"/>
          <w:sz w:val="36"/>
          <w:szCs w:val="36"/>
        </w:rPr>
      </w:pPr>
      <w:r>
        <w:rPr>
          <w:rFonts w:ascii="微软雅黑" w:hAnsi="微软雅黑" w:eastAsia="微软雅黑" w:cs="微软雅黑"/>
          <w:b/>
          <w:bCs/>
          <w:color w:val="auto"/>
          <w:sz w:val="36"/>
          <w:szCs w:val="36"/>
        </w:rPr>
        <w:t>2018</w:t>
      </w: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  <w:t>年福建水利电力职业技术学院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Times New Roman" w:hAnsi="Times New Roman" w:eastAsia="微软雅黑" w:cs="Times New Roman"/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 </w:t>
      </w:r>
      <w:r>
        <w:rPr>
          <w:rFonts w:ascii="微软雅黑" w:hAnsi="微软雅黑" w:eastAsia="微软雅黑" w:cs="微软雅黑"/>
          <w:b/>
          <w:bCs/>
          <w:color w:val="auto"/>
          <w:sz w:val="36"/>
          <w:szCs w:val="36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</w:rPr>
        <w:t>公开招聘</w:t>
      </w:r>
      <w:r>
        <w:rPr>
          <w:rFonts w:hint="eastAsia" w:ascii="微软雅黑" w:hAnsi="微软雅黑" w:eastAsia="微软雅黑" w:cs="微软雅黑"/>
          <w:b/>
          <w:bCs/>
          <w:color w:val="auto"/>
          <w:sz w:val="36"/>
          <w:szCs w:val="36"/>
          <w:lang w:eastAsia="zh-CN"/>
        </w:rPr>
        <w:t>高层次人才公告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福建水利电力职业技术学院（以下简称学院）创建于</w:t>
      </w:r>
      <w:r>
        <w:rPr>
          <w:rFonts w:ascii="仿宋_GB2312" w:eastAsia="仿宋_GB2312" w:cs="仿宋_GB2312"/>
          <w:color w:val="auto"/>
          <w:sz w:val="32"/>
          <w:szCs w:val="32"/>
        </w:rPr>
        <w:t>1929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年，位于全国优秀旅游城市</w:t>
      </w:r>
      <w:r>
        <w:rPr>
          <w:rFonts w:ascii="仿宋_GB2312" w:eastAsia="仿宋_GB2312" w:cs="仿宋_GB2312"/>
          <w:color w:val="auto"/>
          <w:sz w:val="32"/>
          <w:szCs w:val="32"/>
        </w:rPr>
        <w:t>——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永安市区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交通便利，动车直达厦门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仅需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1小时20分，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直达福州仅需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1小时30分。学院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系福建省首批公办示范性高等职业院校、福建省</w:t>
      </w:r>
      <w:r>
        <w:rPr>
          <w:rFonts w:ascii="仿宋_GB2312" w:eastAsia="仿宋_GB2312" w:cs="仿宋_GB2312"/>
          <w:color w:val="auto"/>
          <w:sz w:val="32"/>
          <w:szCs w:val="32"/>
        </w:rPr>
        <w:t>2018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年示范性现代职业院校重点建设项目单位，是福建省唯一一所以水利、电力为专业特色的高职院校，直属福建省教育厅。因学院发展需要，拟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在贵校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公开招聘一批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高层次人才，公告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如下：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uto"/>
        <w:ind w:firstLine="643" w:firstLineChars="200"/>
        <w:textAlignment w:val="auto"/>
        <w:outlineLvl w:val="9"/>
        <w:rPr>
          <w:rFonts w:ascii="仿宋_GB2312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一、基本条件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1.具有中华人民共和国国籍，拥护中国共产党的领导，热爱社会主义，遵纪守法，品行端正。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2.身体健康，符合福建省教师资格认定的体检标准。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uto"/>
        <w:ind w:firstLine="640" w:firstLineChars="200"/>
        <w:textAlignment w:val="auto"/>
        <w:outlineLvl w:val="9"/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3.年龄要求：原则上博士研究生年龄要求为40周岁及以下（1977年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</w:rPr>
        <w:t>月30日及以后出生）；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硕士研究生</w:t>
      </w:r>
      <w:r>
        <w:rPr>
          <w:rFonts w:hint="eastAsia" w:ascii="仿宋_GB2312" w:eastAsia="仿宋_GB2312"/>
          <w:color w:val="auto"/>
          <w:sz w:val="32"/>
          <w:szCs w:val="32"/>
        </w:rPr>
        <w:t>年龄要求为</w:t>
      </w:r>
      <w:r>
        <w:rPr>
          <w:rFonts w:ascii="仿宋_GB2312" w:eastAsia="仿宋_GB2312" w:cs="仿宋_GB2312"/>
          <w:color w:val="auto"/>
          <w:sz w:val="32"/>
          <w:szCs w:val="32"/>
        </w:rPr>
        <w:t>35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周岁及以下（</w:t>
      </w:r>
      <w:r>
        <w:rPr>
          <w:rFonts w:ascii="仿宋_GB2312" w:eastAsia="仿宋_GB2312" w:cs="仿宋_GB2312"/>
          <w:color w:val="auto"/>
          <w:sz w:val="32"/>
          <w:szCs w:val="32"/>
        </w:rPr>
        <w:t>1982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日及以后出生）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紧缺急需人才可以放宽到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40周岁。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4.资历要求：具有较扎实的专业知识和相关专业实践技能，具有企业经历者优先，各岗位要求见招聘岗位信息一览表。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60" w:lineRule="auto"/>
        <w:ind w:firstLine="643" w:firstLineChars="200"/>
        <w:textAlignment w:val="auto"/>
        <w:outlineLvl w:val="9"/>
        <w:rPr>
          <w:rFonts w:ascii="仿宋_GB2312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二、招聘岗位信息一览表</w:t>
      </w:r>
    </w:p>
    <w:tbl>
      <w:tblPr>
        <w:tblStyle w:val="7"/>
        <w:tblW w:w="9131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742"/>
        <w:gridCol w:w="2858"/>
        <w:gridCol w:w="2340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jc w:val="left"/>
              <w:rPr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招聘岗位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招聘人数</w:t>
            </w:r>
          </w:p>
        </w:tc>
        <w:tc>
          <w:tcPr>
            <w:tcW w:w="2858" w:type="dxa"/>
            <w:vAlign w:val="center"/>
          </w:tcPr>
          <w:p>
            <w:pPr>
              <w:jc w:val="left"/>
              <w:rPr>
                <w:rFonts w:hint="eastAsia" w:eastAsia="宋体"/>
                <w:color w:val="auto"/>
                <w:kern w:val="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</w:rPr>
              <w:t>专业</w:t>
            </w:r>
            <w:r>
              <w:rPr>
                <w:rFonts w:hint="eastAsia" w:cs="宋体"/>
                <w:color w:val="auto"/>
                <w:kern w:val="0"/>
                <w:lang w:eastAsia="zh-CN"/>
              </w:rPr>
              <w:t>大类及专业</w:t>
            </w:r>
          </w:p>
        </w:tc>
        <w:tc>
          <w:tcPr>
            <w:tcW w:w="2340" w:type="dxa"/>
            <w:vAlign w:val="center"/>
          </w:tcPr>
          <w:p>
            <w:pPr>
              <w:jc w:val="left"/>
              <w:rPr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学历学位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eastAsia="宋体"/>
                <w:color w:val="auto"/>
                <w:kern w:val="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水利系教师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858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水利类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博士研究生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cs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  <w:lang w:eastAsia="zh-CN"/>
              </w:rPr>
              <w:t>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电力系教师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858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能源动力类、电气自动化类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博士研究生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cs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  <w:lang w:eastAsia="zh-CN"/>
              </w:rPr>
              <w:t>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电力系教师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858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铁道运输类、城市轨道运输类、交通运输综合管理类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博士研究生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cs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  <w:lang w:eastAsia="zh-CN"/>
              </w:rPr>
              <w:t>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信息系教师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858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国民经济学、区域经济学、财政学、金融学、产业经济学、国际贸易学、会计学、企业管理、技术经济及管理、金融、应用统计、税务、国际商务、保险、资产评估、审计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博士研究生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cs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建筑系教师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858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土建类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博士研究生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cs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机电系教师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858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材料类、机械类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博士研究生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cs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水利系教师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2858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大地测量学与测量工程、摄影测量与遥感、地图制图学与地理信息工程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 w:cs="宋体"/>
                <w:color w:val="auto"/>
                <w:kern w:val="0"/>
              </w:rPr>
              <w:t>研究生学历、硕士及以上学位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cs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  <w:lang w:eastAsia="zh-CN"/>
              </w:rPr>
              <w:t>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 w:cs="宋体"/>
                <w:color w:val="auto"/>
                <w:kern w:val="0"/>
              </w:rPr>
              <w:t>水利系教师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  <w:kern w:val="0"/>
              </w:rPr>
              <w:t>3</w:t>
            </w:r>
          </w:p>
        </w:tc>
        <w:tc>
          <w:tcPr>
            <w:tcW w:w="2858" w:type="dxa"/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 w:cs="宋体"/>
                <w:color w:val="auto"/>
                <w:kern w:val="0"/>
              </w:rPr>
              <w:t>水文学及水资源、水力学及河流动力学、水工结构工程、水利水电工程</w:t>
            </w:r>
          </w:p>
        </w:tc>
        <w:tc>
          <w:tcPr>
            <w:tcW w:w="2340" w:type="dxa"/>
            <w:vAlign w:val="center"/>
          </w:tcPr>
          <w:p>
            <w:pPr>
              <w:jc w:val="left"/>
              <w:rPr>
                <w:rFonts w:hint="eastAsia" w:cs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研究生学历、硕士及以上学位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cs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  <w:lang w:eastAsia="zh-CN"/>
              </w:rPr>
              <w:t>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 w:cs="宋体"/>
                <w:color w:val="auto"/>
                <w:kern w:val="0"/>
              </w:rPr>
              <w:t>水利系教师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  <w:kern w:val="0"/>
              </w:rPr>
              <w:t>1</w:t>
            </w:r>
          </w:p>
        </w:tc>
        <w:tc>
          <w:tcPr>
            <w:tcW w:w="2858" w:type="dxa"/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 w:cs="宋体"/>
                <w:color w:val="auto"/>
                <w:kern w:val="0"/>
              </w:rPr>
              <w:t>环境科学、环境工程</w:t>
            </w:r>
          </w:p>
        </w:tc>
        <w:tc>
          <w:tcPr>
            <w:tcW w:w="2340" w:type="dxa"/>
            <w:vAlign w:val="center"/>
          </w:tcPr>
          <w:p>
            <w:pPr>
              <w:jc w:val="left"/>
              <w:rPr>
                <w:rFonts w:hint="eastAsia" w:cs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研究生学历、硕士及以上学位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cs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电力系教师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2858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能源动力类、电气自动化类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 w:cs="宋体"/>
                <w:color w:val="auto"/>
                <w:kern w:val="0"/>
              </w:rPr>
              <w:t>研究生学历、硕士及以上学位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eastAsia="宋体" w:cs="宋体"/>
                <w:color w:val="auto"/>
                <w:kern w:val="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lang w:eastAsia="zh-CN"/>
              </w:rPr>
              <w:t>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电力系教师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2858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铁道运输类、城市轨道运输类、交通运输综合管理类</w:t>
            </w:r>
          </w:p>
        </w:tc>
        <w:tc>
          <w:tcPr>
            <w:tcW w:w="2340" w:type="dxa"/>
            <w:vAlign w:val="center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 w:cs="宋体"/>
                <w:color w:val="auto"/>
                <w:kern w:val="0"/>
              </w:rPr>
              <w:t>研究生学历、硕士及以上学位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cs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  <w:lang w:eastAsia="zh-CN"/>
              </w:rPr>
              <w:t>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 w:cs="宋体"/>
                <w:color w:val="auto"/>
                <w:kern w:val="0"/>
              </w:rPr>
              <w:t>信息系教师</w:t>
            </w:r>
          </w:p>
        </w:tc>
        <w:tc>
          <w:tcPr>
            <w:tcW w:w="742" w:type="dxa"/>
            <w:vAlign w:val="center"/>
          </w:tcPr>
          <w:p>
            <w:pPr>
              <w:spacing w:line="480" w:lineRule="exact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</w:t>
            </w:r>
          </w:p>
          <w:p>
            <w:pPr>
              <w:spacing w:line="480" w:lineRule="exact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858" w:type="dxa"/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 w:cs="宋体"/>
                <w:color w:val="auto"/>
                <w:kern w:val="0"/>
              </w:rPr>
              <w:t>国民经济学、区域经济学、财政学、金融学、产业经济学、国际贸易学、会计学、企业管理、技术经济及管理、金融、应用统计、税务、国际商务、保险、资产评估、审计</w:t>
            </w:r>
          </w:p>
        </w:tc>
        <w:tc>
          <w:tcPr>
            <w:tcW w:w="2340" w:type="dxa"/>
            <w:vAlign w:val="center"/>
          </w:tcPr>
          <w:p>
            <w:pPr>
              <w:jc w:val="left"/>
              <w:rPr>
                <w:rFonts w:hint="eastAsia" w:cs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研究生学历、硕士及以上学位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 w:cs="宋体"/>
                <w:color w:val="auto"/>
                <w:kern w:val="0"/>
              </w:rPr>
              <w:t>建筑系教师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  <w:kern w:val="0"/>
              </w:rPr>
              <w:t>1</w:t>
            </w:r>
          </w:p>
        </w:tc>
        <w:tc>
          <w:tcPr>
            <w:tcW w:w="2858" w:type="dxa"/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 w:cs="宋体"/>
                <w:color w:val="auto"/>
                <w:kern w:val="0"/>
              </w:rPr>
              <w:t>市政工程、防灾减灾工程及防护工程、桥梁与隧道工程</w:t>
            </w:r>
          </w:p>
        </w:tc>
        <w:tc>
          <w:tcPr>
            <w:tcW w:w="2340" w:type="dxa"/>
            <w:vAlign w:val="center"/>
          </w:tcPr>
          <w:p>
            <w:pPr>
              <w:jc w:val="left"/>
              <w:rPr>
                <w:rFonts w:hint="eastAsia"/>
                <w:color w:val="auto"/>
              </w:rPr>
            </w:pPr>
            <w:r>
              <w:rPr>
                <w:rFonts w:hint="eastAsia" w:cs="宋体"/>
                <w:color w:val="auto"/>
                <w:kern w:val="0"/>
              </w:rPr>
              <w:t>研究生学历、硕士及以上学位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</w:rPr>
            </w:pPr>
            <w:r>
              <w:rPr>
                <w:rFonts w:hint="eastAsia" w:cs="宋体"/>
                <w:color w:val="auto"/>
                <w:kern w:val="0"/>
              </w:rPr>
              <w:t>建筑系教师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  <w:kern w:val="0"/>
              </w:rPr>
              <w:t>1</w:t>
            </w:r>
          </w:p>
        </w:tc>
        <w:tc>
          <w:tcPr>
            <w:tcW w:w="2858" w:type="dxa"/>
            <w:vAlign w:val="center"/>
          </w:tcPr>
          <w:p>
            <w:pPr>
              <w:widowControl/>
              <w:jc w:val="left"/>
              <w:rPr>
                <w:rFonts w:hint="eastAsia"/>
                <w:color w:val="auto"/>
              </w:rPr>
            </w:pPr>
            <w:r>
              <w:rPr>
                <w:rFonts w:hint="eastAsia" w:cs="宋体"/>
                <w:color w:val="auto"/>
                <w:kern w:val="0"/>
              </w:rPr>
              <w:t>建筑设计及其理论、岩土工程、结构工程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研究生学历、硕士及以上学位</w:t>
            </w:r>
          </w:p>
        </w:tc>
        <w:tc>
          <w:tcPr>
            <w:tcW w:w="1103" w:type="dxa"/>
            <w:vAlign w:val="center"/>
          </w:tcPr>
          <w:p>
            <w:pPr>
              <w:widowControl/>
              <w:jc w:val="left"/>
              <w:rPr>
                <w:rFonts w:hint="eastAsia" w:cs="宋体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rPr>
                <w:rFonts w:hint="eastAsia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/>
                <w:color w:val="auto"/>
              </w:rPr>
            </w:pPr>
            <w:r>
              <w:rPr>
                <w:rFonts w:hint="eastAsia" w:cs="宋体"/>
                <w:color w:val="auto"/>
                <w:kern w:val="0"/>
              </w:rPr>
              <w:t>机电系实训指导教师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</w:rPr>
            </w:pPr>
            <w:r>
              <w:rPr>
                <w:color w:val="auto"/>
                <w:kern w:val="0"/>
              </w:rPr>
              <w:t>1</w:t>
            </w:r>
          </w:p>
        </w:tc>
        <w:tc>
          <w:tcPr>
            <w:tcW w:w="2858" w:type="dxa"/>
            <w:vAlign w:val="center"/>
          </w:tcPr>
          <w:p>
            <w:pPr>
              <w:pStyle w:val="2"/>
              <w:spacing w:before="0" w:line="240" w:lineRule="atLeast"/>
              <w:rPr>
                <w:rFonts w:hint="eastAsia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电气自动化类（工业机器人方向）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/>
                <w:color w:val="auto"/>
              </w:rPr>
            </w:pPr>
            <w:r>
              <w:rPr>
                <w:rFonts w:hint="eastAsia" w:cs="宋体"/>
                <w:color w:val="auto"/>
                <w:kern w:val="0"/>
              </w:rPr>
              <w:t>研究生学历、硕士及以上学位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cs="宋体"/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jc w:val="left"/>
              <w:rPr>
                <w:rFonts w:hint="eastAsia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马院教师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1</w:t>
            </w:r>
          </w:p>
        </w:tc>
        <w:tc>
          <w:tcPr>
            <w:tcW w:w="2858" w:type="dxa"/>
            <w:vAlign w:val="center"/>
          </w:tcPr>
          <w:p>
            <w:pPr>
              <w:pStyle w:val="2"/>
              <w:spacing w:before="0" w:line="240" w:lineRule="atLeast"/>
              <w:rPr>
                <w:color w:val="auto"/>
                <w:kern w:val="0"/>
              </w:rPr>
            </w:pPr>
            <w:r>
              <w:rPr>
                <w:rFonts w:hint="eastAsia" w:ascii="Times New Roman" w:hAnsi="Times New Roman"/>
                <w:color w:val="auto"/>
                <w:sz w:val="21"/>
                <w:szCs w:val="21"/>
              </w:rPr>
              <w:t>马克思主义理论类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spacing w:line="240" w:lineRule="atLeast"/>
              <w:jc w:val="left"/>
              <w:rPr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研究生学历、硕士及以上学位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rFonts w:hint="eastAsia" w:cs="宋体"/>
                <w:color w:val="auto"/>
                <w:kern w:val="0"/>
                <w:lang w:eastAsia="zh-CN"/>
              </w:rPr>
            </w:pPr>
            <w:r>
              <w:rPr>
                <w:rFonts w:hint="eastAsia" w:cs="宋体"/>
                <w:color w:val="auto"/>
                <w:kern w:val="0"/>
                <w:lang w:eastAsia="zh-CN"/>
              </w:rPr>
              <w:t>要求</w:t>
            </w:r>
          </w:p>
          <w:p>
            <w:pPr>
              <w:jc w:val="left"/>
              <w:rPr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jc w:val="left"/>
              <w:rPr>
                <w:rFonts w:hint="eastAsia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</w:rPr>
              <w:t>心理健康中心教师</w:t>
            </w: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2858" w:type="dxa"/>
            <w:vAlign w:val="center"/>
          </w:tcPr>
          <w:p>
            <w:pPr>
              <w:rPr>
                <w:color w:val="auto"/>
                <w:kern w:val="0"/>
              </w:rPr>
            </w:pPr>
            <w:r>
              <w:rPr>
                <w:rFonts w:hint="eastAsia"/>
                <w:color w:val="auto"/>
              </w:rPr>
              <w:t>应用心理学、发展与教育心理学、心理健康教育</w:t>
            </w:r>
          </w:p>
        </w:tc>
        <w:tc>
          <w:tcPr>
            <w:tcW w:w="2340" w:type="dxa"/>
            <w:vAlign w:val="center"/>
          </w:tcPr>
          <w:p>
            <w:pPr>
              <w:rPr>
                <w:color w:val="auto"/>
                <w:kern w:val="0"/>
              </w:rPr>
            </w:pPr>
            <w:r>
              <w:rPr>
                <w:rFonts w:hint="eastAsia" w:cs="宋体"/>
                <w:color w:val="auto"/>
                <w:kern w:val="0"/>
              </w:rPr>
              <w:t>研究生学历、硕士及以上学位</w:t>
            </w: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 w:cs="宋体"/>
                <w:color w:val="auto"/>
              </w:rPr>
              <w:t>合计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cs="宋体"/>
                <w:color w:val="auto"/>
                <w:kern w:val="0"/>
              </w:rPr>
            </w:pPr>
          </w:p>
        </w:tc>
        <w:tc>
          <w:tcPr>
            <w:tcW w:w="74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lang w:val="en-US" w:eastAsia="zh-CN"/>
              </w:rPr>
              <w:t>23</w:t>
            </w:r>
          </w:p>
        </w:tc>
        <w:tc>
          <w:tcPr>
            <w:tcW w:w="2858" w:type="dxa"/>
            <w:vAlign w:val="center"/>
          </w:tcPr>
          <w:p>
            <w:pPr>
              <w:rPr>
                <w:rFonts w:hint="eastAsia" w:cs="宋体"/>
                <w:color w:val="auto"/>
                <w:kern w:val="0"/>
              </w:rPr>
            </w:pPr>
          </w:p>
        </w:tc>
        <w:tc>
          <w:tcPr>
            <w:tcW w:w="2340" w:type="dxa"/>
            <w:vAlign w:val="center"/>
          </w:tcPr>
          <w:p>
            <w:pPr>
              <w:rPr>
                <w:rFonts w:hint="eastAsia" w:cs="宋体"/>
                <w:color w:val="auto"/>
                <w:kern w:val="0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left"/>
              <w:rPr>
                <w:color w:val="auto"/>
                <w:kern w:val="0"/>
              </w:rPr>
            </w:pPr>
          </w:p>
        </w:tc>
      </w:tr>
    </w:tbl>
    <w:p>
      <w:pPr>
        <w:pStyle w:val="2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ind w:firstLine="643" w:firstLineChars="200"/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报名</w:t>
      </w:r>
    </w:p>
    <w:p>
      <w:pPr>
        <w:pStyle w:val="2"/>
        <w:numPr>
          <w:ilvl w:val="0"/>
          <w:numId w:val="0"/>
        </w:numPr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报名时间：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即日起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1个月，其中博士研究生及紧缺专业硕士研究生为常年招聘。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报名方式：符合条件的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毕业生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请于报名截止之日前将以下材料扫描打包发至学院人事处邮箱：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"mailto:syrs123@163.com" </w:instrText>
      </w:r>
      <w:r>
        <w:rPr>
          <w:color w:val="auto"/>
        </w:rPr>
        <w:fldChar w:fldCharType="separate"/>
      </w:r>
      <w:r>
        <w:rPr>
          <w:color w:val="auto"/>
        </w:rPr>
        <w:t>syrs123@163.com</w:t>
      </w:r>
      <w:r>
        <w:rPr>
          <w:color w:val="auto"/>
        </w:rPr>
        <w:fldChar w:fldCharType="end"/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，材料以“姓名</w:t>
      </w:r>
      <w:r>
        <w:rPr>
          <w:rFonts w:ascii="仿宋_GB2312" w:eastAsia="仿宋_GB2312" w:cs="仿宋_GB2312"/>
          <w:color w:val="auto"/>
          <w:sz w:val="32"/>
          <w:szCs w:val="32"/>
        </w:rPr>
        <w:t>+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应聘岗位”命名。报名材料应包括：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</w:t>
      </w:r>
      <w:r>
        <w:rPr>
          <w:rFonts w:asci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）《福建水利电力职业技术学院应聘报名登记表》；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</w:t>
      </w:r>
      <w:r>
        <w:rPr>
          <w:rFonts w:ascii="仿宋_GB2312" w:eastAsia="仿宋_GB2312" w:cs="仿宋_GB2312"/>
          <w:color w:val="auto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）身份证扫描件；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</w:t>
      </w:r>
      <w:r>
        <w:rPr>
          <w:rFonts w:ascii="仿宋_GB2312" w:eastAsia="仿宋_GB2312" w:cs="仿宋_GB2312"/>
          <w:color w:val="auto"/>
          <w:sz w:val="32"/>
          <w:szCs w:val="32"/>
        </w:rPr>
        <w:t>3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）应届毕业生提供毕业生推荐表扫描件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资格审查：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应聘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人员应严格按照招聘岗位的条件要求报名，并对提交材料的真实性负责。凡个人填报信息不实，不符合招聘岗位要求的，一经核实，即取消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录用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资格。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3" w:firstLineChars="200"/>
        <w:rPr>
          <w:rFonts w:hint="eastAsia" w:asci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、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lang w:eastAsia="zh-CN"/>
        </w:rPr>
        <w:t>录用方式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hint="eastAsia" w:ascii="仿宋_GB2312" w:hAnsi="Calibri" w:eastAsia="仿宋_GB2312" w:cs="仿宋_GB2312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根据福建省省属事业单位公开招聘高层次人才有关规定，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本次招聘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博士研究生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采取面试、考核的方式确定拟聘人选。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福建水利电力职业技术学院组织人才考评小组进行面试，面试合格分数线为</w:t>
      </w:r>
      <w:r>
        <w:rPr>
          <w:rFonts w:ascii="仿宋_GB2312" w:hAnsi="Calibri" w:eastAsia="仿宋_GB2312" w:cs="仿宋_GB2312"/>
          <w:color w:val="auto"/>
          <w:sz w:val="32"/>
          <w:szCs w:val="32"/>
        </w:rPr>
        <w:t>70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分。根据面试成绩高低，按岗位招聘人数</w:t>
      </w:r>
      <w:r>
        <w:rPr>
          <w:rFonts w:ascii="仿宋_GB2312" w:hAnsi="Calibri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：</w:t>
      </w:r>
      <w:r>
        <w:rPr>
          <w:rFonts w:ascii="仿宋_GB2312" w:hAnsi="Calibri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的比例确定考核人选。拟聘人员需提供近五年以来的学术成果，并经学院学术委员会进行认定。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val="en-US" w:eastAsia="zh-CN"/>
        </w:rPr>
        <w:t>硕士研究生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专任教师岗位考试采取笔试、试讲、面试相结合的办法。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笔试、试讲、面试、综合成绩总分均为</w:t>
      </w:r>
      <w:r>
        <w:rPr>
          <w:rFonts w:ascii="仿宋_GB2312" w:eastAsia="仿宋_GB2312" w:cs="仿宋_GB2312"/>
          <w:color w:val="auto"/>
          <w:sz w:val="32"/>
          <w:szCs w:val="32"/>
        </w:rPr>
        <w:t>100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分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综合成绩按笔试成绩占</w:t>
      </w:r>
      <w:r>
        <w:rPr>
          <w:rFonts w:ascii="仿宋_GB2312" w:eastAsia="仿宋_GB2312" w:cs="仿宋_GB2312"/>
          <w:color w:val="auto"/>
          <w:sz w:val="32"/>
          <w:szCs w:val="32"/>
        </w:rPr>
        <w:t>30%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、试讲成绩占</w:t>
      </w:r>
      <w:r>
        <w:rPr>
          <w:rFonts w:ascii="仿宋_GB2312" w:eastAsia="仿宋_GB2312" w:cs="仿宋_GB2312"/>
          <w:color w:val="auto"/>
          <w:sz w:val="32"/>
          <w:szCs w:val="32"/>
        </w:rPr>
        <w:t>30%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、面试成绩占</w:t>
      </w:r>
      <w:r>
        <w:rPr>
          <w:rFonts w:ascii="仿宋_GB2312" w:eastAsia="仿宋_GB2312" w:cs="仿宋_GB2312"/>
          <w:color w:val="auto"/>
          <w:sz w:val="32"/>
          <w:szCs w:val="32"/>
        </w:rPr>
        <w:t>40%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的比例折合计算。笔试内容为公共基础知识，试讲内容为指定教材的片段教学，面试为结构化面试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面试合格分数线为</w:t>
      </w:r>
      <w:r>
        <w:rPr>
          <w:rFonts w:ascii="仿宋_GB2312" w:hAnsi="Calibri" w:eastAsia="仿宋_GB2312" w:cs="仿宋_GB2312"/>
          <w:color w:val="auto"/>
          <w:sz w:val="32"/>
          <w:szCs w:val="32"/>
        </w:rPr>
        <w:t>70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分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紧缺急需专业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应聘人数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如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未达招聘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人数</w:t>
      </w:r>
      <w:r>
        <w:rPr>
          <w:rFonts w:ascii="仿宋_GB2312" w:eastAsia="仿宋_GB2312" w:cs="仿宋_GB2312"/>
          <w:color w:val="auto"/>
          <w:sz w:val="32"/>
          <w:szCs w:val="32"/>
        </w:rPr>
        <w:t>3:1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比例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，经学院党委研究同意后，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采取面试考核方式确定拟聘人选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实训指导教师岗位考试采取笔试、面试相结合的办法。考生的综合成绩按笔试成绩占</w:t>
      </w:r>
      <w:r>
        <w:rPr>
          <w:rFonts w:ascii="仿宋_GB2312" w:eastAsia="仿宋_GB2312" w:cs="仿宋_GB2312"/>
          <w:color w:val="auto"/>
          <w:sz w:val="32"/>
          <w:szCs w:val="32"/>
        </w:rPr>
        <w:t>40%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、面试成绩占</w:t>
      </w:r>
      <w:r>
        <w:rPr>
          <w:rFonts w:ascii="仿宋_GB2312" w:eastAsia="仿宋_GB2312" w:cs="仿宋_GB2312"/>
          <w:color w:val="auto"/>
          <w:sz w:val="32"/>
          <w:szCs w:val="32"/>
        </w:rPr>
        <w:t>60%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的比例折合计算。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若综合成绩并列的，则以面试成绩分高者为拟聘人选</w:t>
      </w:r>
      <w:r>
        <w:rPr>
          <w:rFonts w:ascii="仿宋_GB2312" w:eastAsia="仿宋_GB2312" w:cs="仿宋_GB2312"/>
          <w:color w:val="auto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若面试成绩仍并列的，则加试一场面试，综合成绩排名以加试成绩为准。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3" w:firstLineChars="200"/>
        <w:rPr>
          <w:rFonts w:ascii="仿宋_GB2312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、考核和体检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根据综合成绩高低，按岗位拟招聘人数</w:t>
      </w:r>
      <w:r>
        <w:rPr>
          <w:rFonts w:asci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：</w:t>
      </w:r>
      <w:r>
        <w:rPr>
          <w:rFonts w:asci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的比例确定考核、体检人选；考核由学院另行通知，体检标准及项目参照《福建省教师资格申请人员体检标准及办法》标准执行。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未按时体检的，视为自动放弃；考核、体检不合格或自动放弃的，按综合成绩排名顺序依次递补。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3" w:firstLineChars="200"/>
        <w:rPr>
          <w:rFonts w:ascii="仿宋_GB2312" w:eastAsia="仿宋_GB2312" w:cs="Times New Roman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  <w:lang w:eastAsia="zh-CN"/>
        </w:rPr>
        <w:t>六</w:t>
      </w: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、公示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考核、体检合格，且符合岗位各项条件要求的拟聘人选在学院网站公示</w:t>
      </w:r>
      <w:r>
        <w:rPr>
          <w:rFonts w:ascii="仿宋_GB2312" w:eastAsia="仿宋_GB2312" w:cs="仿宋_GB2312"/>
          <w:color w:val="auto"/>
          <w:sz w:val="32"/>
          <w:szCs w:val="32"/>
        </w:rPr>
        <w:t>7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个工作日。</w:t>
      </w:r>
      <w:r>
        <w:rPr>
          <w:rFonts w:asci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pStyle w:val="2"/>
        <w:numPr>
          <w:ilvl w:val="0"/>
          <w:numId w:val="2"/>
        </w:numPr>
        <w:shd w:val="clear" w:color="auto" w:fill="FFFFFF"/>
        <w:spacing w:before="120" w:beforeAutospacing="0" w:after="120" w:afterAutospacing="0" w:line="360" w:lineRule="auto"/>
        <w:ind w:firstLine="643" w:firstLineChars="200"/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color w:val="auto"/>
          <w:sz w:val="32"/>
          <w:szCs w:val="32"/>
        </w:rPr>
        <w:t>聘用及待遇</w:t>
      </w:r>
    </w:p>
    <w:p>
      <w:pPr>
        <w:pStyle w:val="2"/>
        <w:numPr>
          <w:ilvl w:val="0"/>
          <w:numId w:val="0"/>
        </w:numPr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hint="eastAsia" w:ascii="仿宋_GB2312" w:hAnsi="Calibri" w:eastAsia="仿宋_GB2312"/>
          <w:color w:val="auto"/>
          <w:sz w:val="32"/>
          <w:szCs w:val="32"/>
          <w:lang w:eastAsia="zh-CN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公示结果不影响聘用的，办理聘用核准手续，单位与拟聘人员签订聘用合同。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博士研究生经上级主管部门审批后，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纳入事业单位正式编制管理，按编制内人员待遇执行，服从学院岗位调配。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硕士研究生根据上级主管部门编制管理审批具体情况执行，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纳入事业单位正式编制管理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，按编制内人员待遇执行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。未纳入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事业单位正式编制管理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，按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非在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</w:rPr>
        <w:t>编人员</w:t>
      </w:r>
      <w:r>
        <w:rPr>
          <w:rFonts w:hint="eastAsia" w:ascii="仿宋_GB2312" w:hAnsi="Calibri" w:eastAsia="仿宋_GB2312" w:cs="仿宋_GB2312"/>
          <w:color w:val="auto"/>
          <w:sz w:val="32"/>
          <w:szCs w:val="32"/>
          <w:lang w:eastAsia="zh-CN"/>
        </w:rPr>
        <w:t>管理，待遇与在编人员相同。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符合条件的可申请享受学院所在地永安市人才保障房购房津贴（根据永安市人才保障房相关政策执行，全日制研究生可申请</w:t>
      </w:r>
      <w:r>
        <w:rPr>
          <w:rFonts w:ascii="仿宋_GB2312" w:eastAsia="仿宋_GB2312" w:cs="仿宋_GB2312"/>
          <w:color w:val="auto"/>
          <w:sz w:val="32"/>
          <w:szCs w:val="32"/>
        </w:rPr>
        <w:t>15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万元额度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，博士生可申请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25万元额度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）。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、联系方式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地</w:t>
      </w:r>
      <w:r>
        <w:rPr>
          <w:rFonts w:ascii="仿宋_GB2312" w:eastAsia="仿宋_GB2312" w:cs="Times New Roman"/>
          <w:color w:val="auto"/>
          <w:sz w:val="32"/>
          <w:szCs w:val="32"/>
        </w:rPr>
        <w:t> 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址：福建省永安市巴溪大道</w:t>
      </w:r>
      <w:r>
        <w:rPr>
          <w:rFonts w:ascii="仿宋_GB2312" w:eastAsia="仿宋_GB2312" w:cs="仿宋_GB2312"/>
          <w:color w:val="auto"/>
          <w:sz w:val="32"/>
          <w:szCs w:val="32"/>
        </w:rPr>
        <w:t>2199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号福建水利电力职业技术学院人事处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联系人：祁老师</w:t>
      </w:r>
      <w:r>
        <w:rPr>
          <w:rFonts w:asci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张老师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电</w:t>
      </w:r>
      <w:r>
        <w:rPr>
          <w:rFonts w:ascii="仿宋_GB2312" w:eastAsia="仿宋_GB2312" w:cs="Times New Roman"/>
          <w:color w:val="auto"/>
          <w:sz w:val="32"/>
          <w:szCs w:val="32"/>
        </w:rPr>
        <w:t> 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话：</w:t>
      </w:r>
      <w:r>
        <w:rPr>
          <w:rFonts w:ascii="仿宋_GB2312" w:eastAsia="仿宋_GB2312" w:cs="仿宋_GB2312"/>
          <w:color w:val="auto"/>
          <w:sz w:val="32"/>
          <w:szCs w:val="32"/>
        </w:rPr>
        <w:t xml:space="preserve">0598—8823872 8823838 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手机：</w:t>
      </w:r>
      <w:r>
        <w:rPr>
          <w:rFonts w:ascii="仿宋_GB2312" w:eastAsia="仿宋_GB2312" w:cs="仿宋_GB2312"/>
          <w:color w:val="auto"/>
          <w:sz w:val="32"/>
          <w:szCs w:val="32"/>
        </w:rPr>
        <w:t>13605988513 13616946148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邮</w:t>
      </w:r>
      <w:r>
        <w:rPr>
          <w:rFonts w:ascii="仿宋_GB2312" w:eastAsia="仿宋_GB2312" w:cs="Times New Roman"/>
          <w:color w:val="auto"/>
          <w:sz w:val="32"/>
          <w:szCs w:val="32"/>
        </w:rPr>
        <w:t> 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编：</w:t>
      </w:r>
      <w:r>
        <w:rPr>
          <w:rFonts w:ascii="仿宋_GB2312" w:eastAsia="仿宋_GB2312" w:cs="仿宋_GB2312"/>
          <w:color w:val="auto"/>
          <w:sz w:val="32"/>
          <w:szCs w:val="32"/>
        </w:rPr>
        <w:t>366000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十、监督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学院纪检监察部门对招聘工作进行全程监督。监督电话：</w:t>
      </w:r>
      <w:r>
        <w:rPr>
          <w:rFonts w:ascii="仿宋_GB2312" w:eastAsia="仿宋_GB2312" w:cs="仿宋_GB2312"/>
          <w:color w:val="auto"/>
          <w:sz w:val="32"/>
          <w:szCs w:val="32"/>
        </w:rPr>
        <w:t>0598—8823880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（学院监察审计处）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附件：《福建水利电力职业技术学院应聘报名登记表》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5600" w:firstLineChars="1750"/>
        <w:rPr>
          <w:rFonts w:ascii="仿宋_GB2312" w:eastAsia="仿宋_GB2312" w:cs="Times New Roman"/>
          <w:color w:val="auto"/>
          <w:sz w:val="32"/>
          <w:szCs w:val="32"/>
        </w:rPr>
      </w:pPr>
      <w:r>
        <w:rPr>
          <w:rFonts w:ascii="仿宋_GB2312" w:eastAsia="仿宋_GB2312" w:cs="仿宋_GB2312"/>
          <w:color w:val="auto"/>
          <w:sz w:val="32"/>
          <w:szCs w:val="32"/>
        </w:rPr>
        <w:t>2018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eastAsia="仿宋_GB2312" w:cs="仿宋_GB2312"/>
          <w:color w:val="auto"/>
          <w:sz w:val="32"/>
          <w:szCs w:val="32"/>
        </w:rPr>
        <w:t>日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hint="eastAsia" w:ascii="仿宋_GB2312" w:eastAsia="仿宋_GB2312" w:cs="仿宋_GB2312"/>
          <w:color w:val="auto"/>
          <w:sz w:val="32"/>
          <w:szCs w:val="32"/>
        </w:rPr>
      </w:pPr>
    </w:p>
    <w:p>
      <w:pPr>
        <w:spacing w:line="500" w:lineRule="exact"/>
        <w:jc w:val="center"/>
        <w:rPr>
          <w:rFonts w:eastAsia="黑体"/>
          <w:b/>
          <w:color w:val="auto"/>
          <w:sz w:val="32"/>
          <w:szCs w:val="32"/>
        </w:rPr>
      </w:pPr>
      <w:r>
        <w:rPr>
          <w:rFonts w:hint="eastAsia" w:eastAsia="黑体" w:cs="黑体"/>
          <w:b/>
          <w:color w:val="auto"/>
          <w:sz w:val="32"/>
          <w:szCs w:val="32"/>
        </w:rPr>
        <w:t>福建水利电力职业技术学院</w:t>
      </w:r>
      <w:r>
        <w:rPr>
          <w:rFonts w:hint="eastAsia" w:eastAsia="黑体" w:cs="黑体"/>
          <w:b/>
          <w:color w:val="auto"/>
          <w:sz w:val="32"/>
          <w:szCs w:val="32"/>
          <w:lang w:eastAsia="zh-CN"/>
        </w:rPr>
        <w:t>博士</w:t>
      </w:r>
      <w:r>
        <w:rPr>
          <w:rFonts w:hint="eastAsia" w:eastAsia="黑体" w:cs="黑体"/>
          <w:b/>
          <w:color w:val="auto"/>
          <w:sz w:val="32"/>
          <w:szCs w:val="32"/>
        </w:rPr>
        <w:t>应聘报名表</w:t>
      </w:r>
    </w:p>
    <w:tbl>
      <w:tblPr>
        <w:tblStyle w:val="7"/>
        <w:tblW w:w="94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740"/>
        <w:gridCol w:w="786"/>
        <w:gridCol w:w="349"/>
        <w:gridCol w:w="630"/>
        <w:gridCol w:w="111"/>
        <w:gridCol w:w="182"/>
        <w:gridCol w:w="376"/>
        <w:gridCol w:w="310"/>
        <w:gridCol w:w="980"/>
        <w:gridCol w:w="1122"/>
        <w:gridCol w:w="187"/>
        <w:gridCol w:w="1329"/>
        <w:gridCol w:w="24"/>
        <w:gridCol w:w="631"/>
        <w:gridCol w:w="12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姓名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近期二寸彩照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籍贯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外语水平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最高学历</w:t>
            </w:r>
          </w:p>
        </w:tc>
        <w:tc>
          <w:tcPr>
            <w:tcW w:w="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最高学位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职务职称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毕业学校</w:t>
            </w:r>
          </w:p>
        </w:tc>
        <w:tc>
          <w:tcPr>
            <w:tcW w:w="1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所学专业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毕业时间</w:t>
            </w:r>
          </w:p>
        </w:tc>
        <w:tc>
          <w:tcPr>
            <w:tcW w:w="1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电子邮箱</w:t>
            </w:r>
          </w:p>
        </w:tc>
        <w:tc>
          <w:tcPr>
            <w:tcW w:w="26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58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婚姻状况</w:t>
            </w:r>
          </w:p>
        </w:tc>
        <w:tc>
          <w:tcPr>
            <w:tcW w:w="1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身份证号码</w:t>
            </w:r>
          </w:p>
        </w:tc>
        <w:tc>
          <w:tcPr>
            <w:tcW w:w="44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联系手机</w:t>
            </w:r>
          </w:p>
        </w:tc>
        <w:tc>
          <w:tcPr>
            <w:tcW w:w="1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通讯地址</w:t>
            </w:r>
          </w:p>
        </w:tc>
        <w:tc>
          <w:tcPr>
            <w:tcW w:w="44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应聘岗位</w:t>
            </w:r>
          </w:p>
        </w:tc>
        <w:tc>
          <w:tcPr>
            <w:tcW w:w="822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5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主要科研（教研）成果简介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0" w:hRule="atLeast"/>
          <w:jc w:val="center"/>
        </w:trPr>
        <w:tc>
          <w:tcPr>
            <w:tcW w:w="945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5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个人主要荣誉及获奖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获得时间</w:t>
            </w:r>
          </w:p>
        </w:tc>
        <w:tc>
          <w:tcPr>
            <w:tcW w:w="743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43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43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0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743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学习经历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经历</w:t>
            </w: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起止年月</w:t>
            </w:r>
          </w:p>
        </w:tc>
        <w:tc>
          <w:tcPr>
            <w:tcW w:w="2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院　校　名　称</w:t>
            </w: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专业（方向）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学制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大学本科</w:t>
            </w: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硕士研究生</w:t>
            </w: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9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博士研究生</w:t>
            </w:r>
          </w:p>
        </w:tc>
        <w:tc>
          <w:tcPr>
            <w:tcW w:w="12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9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博士后</w:t>
            </w: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2788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98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工作经历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起止年月</w:t>
            </w:r>
          </w:p>
        </w:tc>
        <w:tc>
          <w:tcPr>
            <w:tcW w:w="5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工作单位</w:t>
            </w: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职务（职称）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8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5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8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5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8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5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98" w:type="dxa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56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家庭情况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姓　名</w:t>
            </w: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关系</w:t>
            </w: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出生</w:t>
            </w:r>
          </w:p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年月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政治面貌</w:t>
            </w:r>
          </w:p>
        </w:tc>
        <w:tc>
          <w:tcPr>
            <w:tcW w:w="4496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496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496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496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496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签名</w:t>
            </w:r>
          </w:p>
        </w:tc>
        <w:tc>
          <w:tcPr>
            <w:tcW w:w="2938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4496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920" w:firstLineChars="800"/>
              <w:textAlignment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 w:cs="仿宋_GB2312"/>
                <w:color w:val="auto"/>
                <w:sz w:val="24"/>
              </w:rPr>
              <w:t>年</w:t>
            </w:r>
            <w:r>
              <w:rPr>
                <w:rFonts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eastAsia="仿宋_GB2312" w:cs="仿宋_GB2312"/>
                <w:color w:val="auto"/>
                <w:sz w:val="24"/>
              </w:rPr>
              <w:t>月</w:t>
            </w:r>
            <w:r>
              <w:rPr>
                <w:rFonts w:eastAsia="仿宋_GB2312"/>
                <w:color w:val="auto"/>
                <w:sz w:val="24"/>
              </w:rPr>
              <w:t xml:space="preserve">   </w:t>
            </w:r>
            <w:r>
              <w:rPr>
                <w:rFonts w:hint="eastAsia" w:eastAsia="仿宋_GB2312" w:cs="仿宋_GB2312"/>
                <w:color w:val="auto"/>
                <w:sz w:val="24"/>
              </w:rPr>
              <w:t>日</w:t>
            </w:r>
          </w:p>
        </w:tc>
      </w:tr>
    </w:tbl>
    <w:p>
      <w:pPr>
        <w:spacing w:line="480" w:lineRule="auto"/>
        <w:ind w:firstLine="2502" w:firstLineChars="890"/>
        <w:rPr>
          <w:rFonts w:hint="eastAsia" w:ascii="楷体_GB2312" w:hAnsi="宋体" w:eastAsia="楷体_GB2312" w:cs="楷体_GB2312"/>
          <w:b/>
          <w:bCs/>
          <w:color w:val="auto"/>
          <w:sz w:val="28"/>
          <w:szCs w:val="28"/>
        </w:rPr>
      </w:pPr>
    </w:p>
    <w:p>
      <w:pPr>
        <w:spacing w:line="480" w:lineRule="auto"/>
        <w:ind w:firstLine="2502" w:firstLineChars="890"/>
        <w:rPr>
          <w:rFonts w:hint="eastAsia" w:ascii="楷体_GB2312" w:hAnsi="宋体" w:eastAsia="楷体_GB2312" w:cs="楷体_GB2312"/>
          <w:b/>
          <w:bCs/>
          <w:color w:val="auto"/>
          <w:sz w:val="28"/>
          <w:szCs w:val="28"/>
        </w:rPr>
      </w:pPr>
    </w:p>
    <w:p>
      <w:pPr>
        <w:spacing w:line="480" w:lineRule="auto"/>
        <w:ind w:firstLine="2502" w:firstLineChars="890"/>
        <w:rPr>
          <w:rFonts w:hint="eastAsia" w:ascii="楷体_GB2312" w:hAnsi="宋体" w:eastAsia="楷体_GB2312" w:cs="楷体_GB2312"/>
          <w:b/>
          <w:bCs/>
          <w:color w:val="auto"/>
          <w:sz w:val="28"/>
          <w:szCs w:val="28"/>
        </w:rPr>
      </w:pPr>
    </w:p>
    <w:p>
      <w:pPr>
        <w:spacing w:line="480" w:lineRule="auto"/>
        <w:ind w:firstLine="2502" w:firstLineChars="890"/>
        <w:rPr>
          <w:rFonts w:hint="eastAsia" w:ascii="楷体_GB2312" w:hAnsi="宋体" w:eastAsia="楷体_GB2312" w:cs="楷体_GB2312"/>
          <w:b/>
          <w:bCs/>
          <w:color w:val="auto"/>
          <w:sz w:val="28"/>
          <w:szCs w:val="28"/>
        </w:rPr>
      </w:pPr>
    </w:p>
    <w:p>
      <w:pPr>
        <w:spacing w:line="480" w:lineRule="auto"/>
        <w:ind w:firstLine="2502" w:firstLineChars="890"/>
        <w:rPr>
          <w:rFonts w:hint="eastAsia" w:ascii="楷体_GB2312" w:hAnsi="宋体" w:eastAsia="楷体_GB2312" w:cs="楷体_GB2312"/>
          <w:b/>
          <w:bCs/>
          <w:color w:val="auto"/>
          <w:sz w:val="28"/>
          <w:szCs w:val="28"/>
        </w:rPr>
      </w:pPr>
    </w:p>
    <w:p>
      <w:pPr>
        <w:spacing w:line="480" w:lineRule="auto"/>
        <w:ind w:firstLine="2502" w:firstLineChars="890"/>
        <w:rPr>
          <w:rFonts w:hint="eastAsia" w:ascii="楷体_GB2312" w:hAnsi="宋体" w:eastAsia="楷体_GB2312" w:cs="楷体_GB2312"/>
          <w:b/>
          <w:bCs/>
          <w:color w:val="auto"/>
          <w:sz w:val="28"/>
          <w:szCs w:val="28"/>
        </w:rPr>
      </w:pPr>
    </w:p>
    <w:p>
      <w:pPr>
        <w:spacing w:line="480" w:lineRule="auto"/>
        <w:jc w:val="center"/>
        <w:rPr>
          <w:rFonts w:ascii="楷体_GB2312" w:hAnsi="宋体" w:eastAsia="楷体_GB2312"/>
          <w:b/>
          <w:bCs/>
          <w:color w:val="auto"/>
          <w:sz w:val="28"/>
          <w:szCs w:val="28"/>
        </w:rPr>
      </w:pPr>
      <w:r>
        <w:rPr>
          <w:rFonts w:hint="eastAsia" w:ascii="楷体_GB2312" w:hAnsi="宋体" w:eastAsia="楷体_GB2312" w:cs="楷体_GB2312"/>
          <w:b/>
          <w:bCs/>
          <w:color w:val="auto"/>
          <w:sz w:val="28"/>
          <w:szCs w:val="28"/>
        </w:rPr>
        <w:t>福建水利电力职业技术学院</w:t>
      </w:r>
      <w:r>
        <w:rPr>
          <w:rFonts w:hint="eastAsia" w:ascii="楷体_GB2312" w:hAnsi="宋体" w:eastAsia="楷体_GB2312" w:cs="楷体_GB2312"/>
          <w:b/>
          <w:bCs/>
          <w:color w:val="auto"/>
          <w:sz w:val="28"/>
          <w:szCs w:val="28"/>
          <w:lang w:eastAsia="zh-CN"/>
        </w:rPr>
        <w:t>硕士研究生</w:t>
      </w:r>
      <w:r>
        <w:rPr>
          <w:rFonts w:hint="eastAsia" w:ascii="楷体_GB2312" w:hAnsi="宋体" w:eastAsia="楷体_GB2312" w:cs="楷体_GB2312"/>
          <w:b/>
          <w:bCs/>
          <w:color w:val="auto"/>
          <w:sz w:val="28"/>
          <w:szCs w:val="28"/>
        </w:rPr>
        <w:t>应聘报名登记表</w:t>
      </w:r>
    </w:p>
    <w:p>
      <w:pPr>
        <w:spacing w:line="480" w:lineRule="auto"/>
        <w:rPr>
          <w:rFonts w:ascii="楷体_GB2312" w:hAnsi="宋体" w:eastAsia="楷体_GB2312"/>
          <w:b/>
          <w:bCs/>
          <w:color w:val="auto"/>
          <w:sz w:val="24"/>
          <w:szCs w:val="24"/>
        </w:rPr>
      </w:pPr>
      <w:r>
        <w:rPr>
          <w:rFonts w:hint="eastAsia" w:ascii="楷体_GB2312" w:hAnsi="宋体" w:eastAsia="楷体_GB2312" w:cs="楷体_GB2312"/>
          <w:b/>
          <w:bCs/>
          <w:color w:val="auto"/>
          <w:sz w:val="24"/>
          <w:szCs w:val="24"/>
        </w:rPr>
        <w:t>应聘岗位：</w:t>
      </w:r>
      <w:r>
        <w:rPr>
          <w:rFonts w:ascii="楷体_GB2312" w:hAnsi="宋体" w:eastAsia="楷体_GB2312" w:cs="楷体_GB2312"/>
          <w:b/>
          <w:bCs/>
          <w:color w:val="auto"/>
          <w:sz w:val="24"/>
          <w:szCs w:val="24"/>
          <w:u w:val="single"/>
        </w:rPr>
        <w:t xml:space="preserve">           </w:t>
      </w:r>
      <w:r>
        <w:rPr>
          <w:rFonts w:hint="eastAsia" w:ascii="楷体_GB2312" w:hAnsi="宋体" w:eastAsia="楷体_GB2312" w:cs="楷体_GB2312"/>
          <w:b/>
          <w:bCs/>
          <w:color w:val="auto"/>
          <w:sz w:val="24"/>
          <w:szCs w:val="24"/>
        </w:rPr>
        <w:t>（请填写岗位序号及岗位名称如岗位</w:t>
      </w:r>
      <w:r>
        <w:rPr>
          <w:rFonts w:ascii="楷体_GB2312" w:hAnsi="宋体" w:eastAsia="楷体_GB2312" w:cs="楷体_GB2312"/>
          <w:b/>
          <w:bCs/>
          <w:color w:val="auto"/>
          <w:sz w:val="24"/>
          <w:szCs w:val="24"/>
        </w:rPr>
        <w:t xml:space="preserve">01 </w:t>
      </w:r>
      <w:r>
        <w:rPr>
          <w:rFonts w:hint="eastAsia" w:ascii="楷体_GB2312" w:hAnsi="宋体" w:eastAsia="楷体_GB2312" w:cs="楷体_GB2312"/>
          <w:b/>
          <w:bCs/>
          <w:color w:val="auto"/>
          <w:sz w:val="24"/>
          <w:szCs w:val="24"/>
        </w:rPr>
        <w:t>水利系教师）</w:t>
      </w:r>
    </w:p>
    <w:tbl>
      <w:tblPr>
        <w:tblStyle w:val="7"/>
        <w:tblW w:w="93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552"/>
        <w:gridCol w:w="495"/>
        <w:gridCol w:w="417"/>
        <w:gridCol w:w="407"/>
        <w:gridCol w:w="330"/>
        <w:gridCol w:w="990"/>
        <w:gridCol w:w="252"/>
        <w:gridCol w:w="856"/>
        <w:gridCol w:w="46"/>
        <w:gridCol w:w="941"/>
        <w:gridCol w:w="168"/>
        <w:gridCol w:w="105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姓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名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性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别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出生年月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96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籍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贯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政治面貌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民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族</w:t>
            </w:r>
          </w:p>
        </w:tc>
        <w:tc>
          <w:tcPr>
            <w:tcW w:w="105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婚姻状况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42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学历类别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毕业院校</w:t>
            </w:r>
          </w:p>
        </w:tc>
        <w:tc>
          <w:tcPr>
            <w:tcW w:w="263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 w:cs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学历、</w:t>
            </w: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学位</w:t>
            </w:r>
          </w:p>
        </w:tc>
        <w:tc>
          <w:tcPr>
            <w:tcW w:w="220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毕业时间</w:t>
            </w:r>
          </w:p>
        </w:tc>
        <w:tc>
          <w:tcPr>
            <w:tcW w:w="263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所学专业</w:t>
            </w:r>
          </w:p>
        </w:tc>
        <w:tc>
          <w:tcPr>
            <w:tcW w:w="2209" w:type="dxa"/>
            <w:gridSpan w:val="4"/>
            <w:tcBorders>
              <w:top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2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现职称</w:t>
            </w:r>
          </w:p>
        </w:tc>
        <w:tc>
          <w:tcPr>
            <w:tcW w:w="2639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2263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仿宋_GB2312" w:hAnsi="宋体" w:eastAsia="仿宋_GB2312" w:cs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联系电话</w:t>
            </w:r>
          </w:p>
          <w:p>
            <w:pPr>
              <w:spacing w:line="240" w:lineRule="atLeast"/>
              <w:rPr>
                <w:rFonts w:ascii="仿宋_GB2312" w:hAnsi="宋体" w:eastAsia="仿宋_GB2312"/>
                <w:color w:val="auto"/>
              </w:rPr>
            </w:pPr>
            <w:r>
              <w:rPr>
                <w:rFonts w:ascii="仿宋_GB2312" w:hAnsi="宋体" w:eastAsia="仿宋_GB2312" w:cs="仿宋_GB2312"/>
                <w:color w:val="auto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可直接联系</w:t>
            </w:r>
            <w:r>
              <w:rPr>
                <w:rFonts w:ascii="仿宋_GB2312" w:hAnsi="宋体" w:eastAsia="仿宋_GB2312" w:cs="仿宋_GB2312"/>
                <w:color w:val="auto"/>
              </w:rPr>
              <w:t>)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4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家庭地址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学习经历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经</w:t>
            </w:r>
            <w:r>
              <w:rPr>
                <w:rFonts w:ascii="仿宋_GB2312" w:hAnsi="宋体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历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起止年月</w:t>
            </w:r>
          </w:p>
        </w:tc>
        <w:tc>
          <w:tcPr>
            <w:tcW w:w="3317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院校及专业</w:t>
            </w:r>
          </w:p>
        </w:tc>
        <w:tc>
          <w:tcPr>
            <w:tcW w:w="1967" w:type="dxa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所学专业</w:t>
            </w:r>
            <w:r>
              <w:rPr>
                <w:rFonts w:ascii="仿宋_GB2312" w:hAnsi="宋体" w:eastAsia="仿宋_GB2312" w:cs="仿宋_GB2312"/>
                <w:color w:val="auto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auto"/>
              </w:rPr>
              <w:t>学制</w:t>
            </w:r>
            <w:r>
              <w:rPr>
                <w:rFonts w:ascii="仿宋_GB2312" w:hAnsi="宋体" w:eastAsia="仿宋_GB2312" w:cs="仿宋_GB2312"/>
                <w:color w:val="auto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8475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1" w:hRule="atLeast"/>
          <w:jc w:val="center"/>
        </w:trPr>
        <w:tc>
          <w:tcPr>
            <w:tcW w:w="86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最高学历主要课程</w:t>
            </w:r>
          </w:p>
        </w:tc>
        <w:tc>
          <w:tcPr>
            <w:tcW w:w="8475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工作经历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起止年月</w:t>
            </w:r>
          </w:p>
        </w:tc>
        <w:tc>
          <w:tcPr>
            <w:tcW w:w="5044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工作单位</w:t>
            </w:r>
          </w:p>
        </w:tc>
        <w:tc>
          <w:tcPr>
            <w:tcW w:w="196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50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8475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866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家庭主要成员情况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关系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姓名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出生日期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政治面貌</w:t>
            </w:r>
          </w:p>
        </w:tc>
        <w:tc>
          <w:tcPr>
            <w:tcW w:w="318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866" w:type="dxa"/>
            <w:vMerge w:val="continue"/>
            <w:vAlign w:val="center"/>
          </w:tcPr>
          <w:p>
            <w:pPr>
              <w:spacing w:line="240" w:lineRule="atLeast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  <w:tc>
          <w:tcPr>
            <w:tcW w:w="318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66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  <w:r>
              <w:rPr>
                <w:rFonts w:hint="eastAsia" w:ascii="仿宋_GB2312" w:hAnsi="宋体" w:eastAsia="仿宋_GB2312" w:cs="仿宋_GB2312"/>
                <w:color w:val="auto"/>
              </w:rPr>
              <w:t>备注</w:t>
            </w:r>
          </w:p>
        </w:tc>
        <w:tc>
          <w:tcPr>
            <w:tcW w:w="8475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  <w:p>
            <w:pPr>
              <w:spacing w:line="240" w:lineRule="atLeast"/>
              <w:jc w:val="center"/>
              <w:rPr>
                <w:rFonts w:ascii="仿宋_GB2312" w:hAnsi="宋体" w:eastAsia="仿宋_GB2312"/>
                <w:color w:val="auto"/>
              </w:rPr>
            </w:pPr>
          </w:p>
        </w:tc>
      </w:tr>
    </w:tbl>
    <w:p>
      <w:pPr>
        <w:spacing w:line="280" w:lineRule="exact"/>
        <w:rPr>
          <w:rFonts w:ascii="仿宋_GB2312" w:hAnsi="宋体" w:eastAsia="仿宋_GB2312"/>
          <w:color w:val="auto"/>
        </w:rPr>
      </w:pPr>
    </w:p>
    <w:p>
      <w:pPr>
        <w:spacing w:line="280" w:lineRule="exact"/>
        <w:ind w:firstLine="422" w:firstLineChars="200"/>
        <w:rPr>
          <w:rFonts w:ascii="楷体_GB2312" w:eastAsia="楷体_GB2312"/>
          <w:b/>
          <w:bCs/>
          <w:color w:val="auto"/>
          <w:u w:val="single"/>
        </w:rPr>
      </w:pPr>
      <w:r>
        <w:rPr>
          <w:rFonts w:hint="eastAsia" w:ascii="楷体_GB2312" w:eastAsia="楷体_GB2312" w:cs="楷体_GB2312"/>
          <w:b/>
          <w:bCs/>
          <w:color w:val="auto"/>
          <w:u w:val="single"/>
        </w:rPr>
        <w:t>声明：本人承诺考核前提交现单位同意报考证明或解除劳动关系证明，并承诺以上所填资料真实准确，如有违事实，愿意取消报名、聘用资格。</w:t>
      </w: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640" w:firstLineChars="200"/>
        <w:rPr>
          <w:rFonts w:ascii="仿宋_GB2312" w:eastAsia="仿宋_GB2312" w:cs="Times New Roman"/>
          <w:color w:val="auto"/>
          <w:sz w:val="32"/>
          <w:szCs w:val="32"/>
        </w:rPr>
      </w:pPr>
    </w:p>
    <w:p>
      <w:pPr>
        <w:pStyle w:val="2"/>
        <w:shd w:val="clear" w:color="auto" w:fill="FFFFFF"/>
        <w:spacing w:before="120" w:beforeAutospacing="0" w:after="120" w:afterAutospacing="0" w:line="360" w:lineRule="auto"/>
        <w:ind w:firstLine="480" w:firstLineChars="200"/>
        <w:rPr>
          <w:rFonts w:cs="Times New Roman"/>
          <w:color w:val="auto"/>
        </w:rPr>
      </w:pPr>
    </w:p>
    <w:sectPr>
      <w:pgSz w:w="11906" w:h="16838"/>
      <w:pgMar w:top="468" w:right="1286" w:bottom="935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90700A"/>
    <w:multiLevelType w:val="singleLevel"/>
    <w:tmpl w:val="CD90700A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1F1F5F0"/>
    <w:multiLevelType w:val="singleLevel"/>
    <w:tmpl w:val="71F1F5F0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B3"/>
    <w:rsid w:val="000428A9"/>
    <w:rsid w:val="000712E0"/>
    <w:rsid w:val="00087023"/>
    <w:rsid w:val="000B1B5A"/>
    <w:rsid w:val="000D07BB"/>
    <w:rsid w:val="000F24AC"/>
    <w:rsid w:val="00111B74"/>
    <w:rsid w:val="0015351A"/>
    <w:rsid w:val="002164B1"/>
    <w:rsid w:val="002449A7"/>
    <w:rsid w:val="00296FD6"/>
    <w:rsid w:val="003343FA"/>
    <w:rsid w:val="0036305C"/>
    <w:rsid w:val="004356B3"/>
    <w:rsid w:val="00436CEC"/>
    <w:rsid w:val="004511A0"/>
    <w:rsid w:val="0049018C"/>
    <w:rsid w:val="004A6492"/>
    <w:rsid w:val="004D5D91"/>
    <w:rsid w:val="00554B85"/>
    <w:rsid w:val="005D2C21"/>
    <w:rsid w:val="005F65C7"/>
    <w:rsid w:val="006603A5"/>
    <w:rsid w:val="00686FE1"/>
    <w:rsid w:val="006A7581"/>
    <w:rsid w:val="006D6191"/>
    <w:rsid w:val="0073114F"/>
    <w:rsid w:val="0075479D"/>
    <w:rsid w:val="007A21FE"/>
    <w:rsid w:val="007A356E"/>
    <w:rsid w:val="007A4A7C"/>
    <w:rsid w:val="007F7DE3"/>
    <w:rsid w:val="00822AA3"/>
    <w:rsid w:val="0085668B"/>
    <w:rsid w:val="008938BB"/>
    <w:rsid w:val="008A0BC6"/>
    <w:rsid w:val="008C54A8"/>
    <w:rsid w:val="008D2E31"/>
    <w:rsid w:val="008D325B"/>
    <w:rsid w:val="008F646B"/>
    <w:rsid w:val="00993766"/>
    <w:rsid w:val="009C765A"/>
    <w:rsid w:val="00A14677"/>
    <w:rsid w:val="00A211F3"/>
    <w:rsid w:val="00A41EB9"/>
    <w:rsid w:val="00A50364"/>
    <w:rsid w:val="00A80FD2"/>
    <w:rsid w:val="00AF5560"/>
    <w:rsid w:val="00B07113"/>
    <w:rsid w:val="00B16E0D"/>
    <w:rsid w:val="00B25031"/>
    <w:rsid w:val="00B82392"/>
    <w:rsid w:val="00BB4330"/>
    <w:rsid w:val="00BB6FB5"/>
    <w:rsid w:val="00BC0CAF"/>
    <w:rsid w:val="00BE6D23"/>
    <w:rsid w:val="00C06DB8"/>
    <w:rsid w:val="00C24B37"/>
    <w:rsid w:val="00C6145B"/>
    <w:rsid w:val="00CA6934"/>
    <w:rsid w:val="00CB3DDC"/>
    <w:rsid w:val="00CC08AD"/>
    <w:rsid w:val="00CD70BA"/>
    <w:rsid w:val="00D15329"/>
    <w:rsid w:val="00D31895"/>
    <w:rsid w:val="00D603EB"/>
    <w:rsid w:val="00D844D2"/>
    <w:rsid w:val="00DA3FBD"/>
    <w:rsid w:val="00DC30E0"/>
    <w:rsid w:val="00DF1C2D"/>
    <w:rsid w:val="00E80756"/>
    <w:rsid w:val="00E92BFF"/>
    <w:rsid w:val="00EB2D4A"/>
    <w:rsid w:val="00F06C27"/>
    <w:rsid w:val="00F5749D"/>
    <w:rsid w:val="00F9352C"/>
    <w:rsid w:val="00FC3FF4"/>
    <w:rsid w:val="00FE62DA"/>
    <w:rsid w:val="026D12E6"/>
    <w:rsid w:val="05A75A4E"/>
    <w:rsid w:val="09830BB8"/>
    <w:rsid w:val="09D7089B"/>
    <w:rsid w:val="0AA216D6"/>
    <w:rsid w:val="148F16A3"/>
    <w:rsid w:val="15364839"/>
    <w:rsid w:val="153D3063"/>
    <w:rsid w:val="16385A44"/>
    <w:rsid w:val="164B341B"/>
    <w:rsid w:val="184D4A16"/>
    <w:rsid w:val="193226ED"/>
    <w:rsid w:val="1EEA29A2"/>
    <w:rsid w:val="1F36711F"/>
    <w:rsid w:val="1FC61C37"/>
    <w:rsid w:val="22527CEB"/>
    <w:rsid w:val="22677423"/>
    <w:rsid w:val="232B1F18"/>
    <w:rsid w:val="24804B8C"/>
    <w:rsid w:val="2CB855FE"/>
    <w:rsid w:val="2CCE6456"/>
    <w:rsid w:val="2FEB2410"/>
    <w:rsid w:val="33A16F28"/>
    <w:rsid w:val="33D5623D"/>
    <w:rsid w:val="3514545C"/>
    <w:rsid w:val="35766003"/>
    <w:rsid w:val="381803AE"/>
    <w:rsid w:val="40F20BA0"/>
    <w:rsid w:val="558E719B"/>
    <w:rsid w:val="5CBE7CFB"/>
    <w:rsid w:val="5E6B1310"/>
    <w:rsid w:val="5EDF6B3C"/>
    <w:rsid w:val="60B0324F"/>
    <w:rsid w:val="61BE69EB"/>
    <w:rsid w:val="667722B0"/>
    <w:rsid w:val="6A89594E"/>
    <w:rsid w:val="6B2F6176"/>
    <w:rsid w:val="6FFB5C1B"/>
    <w:rsid w:val="70B24F2C"/>
    <w:rsid w:val="722D7D1E"/>
    <w:rsid w:val="7BF63671"/>
    <w:rsid w:val="7D105F97"/>
    <w:rsid w:val="7E8D0BD5"/>
    <w:rsid w:val="7F3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Strong"/>
    <w:basedOn w:val="3"/>
    <w:qFormat/>
    <w:uiPriority w:val="99"/>
    <w:rPr>
      <w:b/>
      <w:bCs/>
    </w:rPr>
  </w:style>
  <w:style w:type="character" w:styleId="5">
    <w:name w:val="FollowedHyperlink"/>
    <w:basedOn w:val="3"/>
    <w:qFormat/>
    <w:uiPriority w:val="99"/>
    <w:rPr>
      <w:color w:val="0000FF"/>
      <w:u w:val="none"/>
    </w:rPr>
  </w:style>
  <w:style w:type="character" w:styleId="6">
    <w:name w:val="Hyperlink"/>
    <w:basedOn w:val="3"/>
    <w:qFormat/>
    <w:uiPriority w:val="99"/>
    <w:rPr>
      <w:color w:val="0000FF"/>
      <w:u w:val="none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har Char Char Char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10">
    <w:name w:val="Char Char Char Char1"/>
    <w:basedOn w:val="1"/>
    <w:semiHidden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11">
    <w:name w:val="apple-converted-space"/>
    <w:basedOn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雨林木风网络</Company>
  <Pages>6</Pages>
  <Words>471</Words>
  <Characters>2686</Characters>
  <Lines>0</Lines>
  <Paragraphs>0</Paragraphs>
  <TotalTime>4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2018-10-17T06:44:00Z</dcterms:created>
  <dc:creator>张弦</dc:creator>
  <cp:lastModifiedBy>祁</cp:lastModifiedBy>
  <dcterms:modified xsi:type="dcterms:W3CDTF">2018-11-06T00:29:13Z</dcterms:modified>
  <dc:title>一、      主要工作 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